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2080" w:type="dxa"/>
            <w:vAlign w:val="bottom"/>
          </w:tcPr>
          <w:p>
            <w:pPr>
              <w:spacing w:after="0"/>
              <w:rPr>
                <w:sz w:val="24"/>
                <w:szCs w:val="24"/>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29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6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64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156845</wp:posOffset>
            </wp:positionV>
            <wp:extent cx="1122680" cy="91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 Announces Second Quarter 2024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Net Revenues Increased 35.5% to RMB8,402.6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Profitability Improved From Last Quarter with GAAP Operating Margin of 12.5%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More than 1,370 Net New Store Openings; Ended Quarter with Nearly 20,000 Stores</w:t>
      </w:r>
    </w:p>
    <w:p>
      <w:pPr>
        <w:spacing w:after="0" w:line="22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July 30, 2024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right="52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 the second quarter were RMB8,402.6 million (US$1,156.2 million), representing an increase of 35.5% from RMB6,201.4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w:t>
      </w:r>
    </w:p>
    <w:p>
      <w:pPr>
        <w:spacing w:after="0" w:line="154" w:lineRule="exact"/>
        <w:rPr>
          <w:rFonts w:ascii="Times New Roman" w:cs="Times New Roman" w:eastAsia="Times New Roman" w:hAnsi="Times New Roman"/>
          <w:sz w:val="18"/>
          <w:szCs w:val="18"/>
          <w:color w:val="auto"/>
        </w:rPr>
      </w:pPr>
    </w:p>
    <w:p>
      <w:pPr>
        <w:ind w:left="340" w:right="8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during the second quarter was 1,371, including five new store openings in Singapore, resulting in a quarter-over-quarter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growth of 7.4% from the number of stores at the end of the first quarter of 2024, ending the second quarter with 19,961 stores which include 13,056 self-operated stores and 6,905 partnership stores.</w:t>
      </w:r>
    </w:p>
    <w:p>
      <w:pPr>
        <w:spacing w:after="0" w:line="170" w:lineRule="exact"/>
        <w:rPr>
          <w:rFonts w:ascii="Times New Roman" w:cs="Times New Roman" w:eastAsia="Times New Roman" w:hAnsi="Times New Roman"/>
          <w:sz w:val="18"/>
          <w:szCs w:val="18"/>
          <w:color w:val="auto"/>
        </w:rPr>
      </w:pPr>
    </w:p>
    <w:p>
      <w:pPr>
        <w:ind w:left="340" w:righ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in the second quarter was 69.7 million, representing an increase of 61.8% from 43.1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w:t>
      </w:r>
    </w:p>
    <w:p>
      <w:pPr>
        <w:spacing w:after="0" w:line="154" w:lineRule="exact"/>
        <w:rPr>
          <w:rFonts w:ascii="Times New Roman" w:cs="Times New Roman" w:eastAsia="Times New Roman" w:hAnsi="Times New Roman"/>
          <w:sz w:val="18"/>
          <w:szCs w:val="18"/>
          <w:color w:val="auto"/>
        </w:rPr>
      </w:pPr>
    </w:p>
    <w:p>
      <w:pPr>
        <w:ind w:left="340" w:righ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 the second quarter were RMB6,277.0 million (US$863.7 million), representing an increase of 39.6%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RMB4,495.3 million in the same quarter of 2023.</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in the second quarter was negative 20.9%, compared to 20.8% in the same quarter of 2023.</w:t>
      </w:r>
    </w:p>
    <w:p>
      <w:pPr>
        <w:spacing w:after="0" w:line="225" w:lineRule="exact"/>
        <w:rPr>
          <w:rFonts w:ascii="Times New Roman" w:cs="Times New Roman" w:eastAsia="Times New Roman" w:hAnsi="Times New Roman"/>
          <w:sz w:val="18"/>
          <w:szCs w:val="18"/>
          <w:color w:val="auto"/>
        </w:rPr>
      </w:pPr>
    </w:p>
    <w:p>
      <w:pPr>
        <w:ind w:left="340" w:right="420" w:hanging="332"/>
        <w:spacing w:after="0" w:line="317"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Store level operating profit – self-operated stores </w:t>
      </w:r>
      <w:r>
        <w:rPr>
          <w:rFonts w:ascii="Times New Roman" w:cs="Times New Roman" w:eastAsia="Times New Roman" w:hAnsi="Times New Roman"/>
          <w:sz w:val="17"/>
          <w:szCs w:val="17"/>
          <w:color w:val="auto"/>
        </w:rPr>
        <w:t>in the second quarter was RMB1,351.0 million (US$185.9 million) with store level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profit margin of 21.5%, compared to RMB1,307.5 million with store level operating profit margin of 29.1% in the same quarter of 2023.</w:t>
      </w:r>
    </w:p>
    <w:p>
      <w:pPr>
        <w:spacing w:after="0" w:line="131" w:lineRule="exact"/>
        <w:rPr>
          <w:rFonts w:ascii="Times New Roman" w:cs="Times New Roman" w:eastAsia="Times New Roman" w:hAnsi="Times New Roman"/>
          <w:sz w:val="17"/>
          <w:szCs w:val="17"/>
          <w:color w:val="auto"/>
        </w:rPr>
      </w:pPr>
    </w:p>
    <w:p>
      <w:pPr>
        <w:ind w:left="340" w:right="4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 the second quarter were RMB1,850.2 million (US$254.6 million), representing an increase of 24.5%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RMB1,485.8 million in the same quarter of 2023.</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in the second quarter was RMB1,050.7 million (US$144.6 million), representing a GAAP operating margin of 12.5%,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RMB1,172.8 million, or a GAAP operating margin of 18.9%, in the same quarter of 2023.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in the second quarter, which adjusts for share-based compensation expenses, was RMB1,150.6 million (US$158.3 million), representing a non-GAAP operating margin of 13.7%, compared to RMB1,236.3 million, or a non-GAAP operating margin of 19.9%, in the same quarter of 2023. The decreases were mainly attributable to the reduced average selling price of the Company’s products and continued volatility in market dynamics and competition.</w:t>
      </w:r>
    </w:p>
    <w:p>
      <w:pPr>
        <w:spacing w:after="0" w:line="237" w:lineRule="exact"/>
        <w:rPr>
          <w:sz w:val="20"/>
          <w:szCs w:val="20"/>
          <w:color w:val="auto"/>
        </w:rPr>
      </w:pPr>
    </w:p>
    <w:p>
      <w:pPr>
        <w:ind w:left="5580" w:right="3460" w:hanging="5572"/>
        <w:spacing w:after="0" w:line="623"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4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COMPANY STATEMENT</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thrilled to report another robust quarter, marked by significant growth in our product sales, the store network expansion and the increase in the number of average monthly transacting customers,” said Dr. Jinyi Guo, Chairman and Chief Executive Officer of Luckin Coffee. “This quarter, we achieved a notable increase in net revenues by 35.5%, and a surge in our average monthly transacting customers by 61.8%, compared to the same quarter last year. We have continued to make tremendous progress with the growth of our store footprint in the second quarter. In the second quarter, we added</w:t>
      </w:r>
    </w:p>
    <w:p>
      <w:pPr>
        <w:spacing w:after="0" w:line="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1,371 net new stores, five of which were in Singapore. In July, we inaugurated our 20,000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store in Beijing, underscoring Luckin’s dominant position among China’s coffee chains. Additionally, our financial performance has seen a positive shift, with our GAAP operating margin improving to 12.5% from the first quarter. As another important development, in the presence of Brazilian Vice President Geraldo Alckmin, we entered into a series of letters of intent to procure approximately 120,000 metric tons of coffee beans from Brazil through the end of 2025. Given Brazil’s prominent position in global coffee production and exports, this collaboration is pivotal for Luckin, and we are excited about the opportunities it presents for our future endeavors.”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Dr. Guo continued, “As we move into the second half of 2024, we remain focused on delivering value to customers as well as leveraging our strengthened supply chain and increased store footprint to introduce more innovative and high-quality products to our growing customer base. We believe that we are well-positioned to increase our market share, quality of our products and brand awareness. I would also like to thank the Luckin team and all of our customers for their continued support of the Luckin brand. Looking ahead, we aim to further expand our footprint and offering, creating long-term value and driving sustainable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RESULTS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RMB8,402.6 million (US$1,156.2 million) in the second quarter of 2024, representing an increase of 35.5% from RMB6,201.4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 Net revenues growth was primarily driven by the increase in the number of products sold, the increase in stores in operation and the increase in the number of monthly transacting customers.</w:t>
      </w:r>
    </w:p>
    <w:p>
      <w:pPr>
        <w:spacing w:after="0" w:line="171" w:lineRule="exact"/>
        <w:rPr>
          <w:sz w:val="20"/>
          <w:szCs w:val="20"/>
          <w:color w:val="auto"/>
        </w:rPr>
      </w:pPr>
    </w:p>
    <w:p>
      <w:pPr>
        <w:ind w:left="340" w:right="20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RMB6,552.4 million (US$901.6 million) in the second quarter of 2024, representing an increase of 39.0%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RMB4,715.6 million in the same quarter of 2023.</w:t>
      </w:r>
    </w:p>
    <w:p>
      <w:pPr>
        <w:spacing w:after="0" w:line="158"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were RMB6,014.0 million (US$827.6 million), representing 71.6% of total net revenues in the second quarter of 2024, compared to RMB4,235.0 million, representing 68.2% of total net revenues, in the same quarter of 2023.</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were RMB404.4 million (US$55.6 million), representing 4.8% of total net revenues in the second quarter of 2024, compared to RMB325.7 million, representing 5.3% of total net revenues, in the same quarter of 2023.</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were RMB134.1 million (US$18.4 million), representing 1.6% of total net revenues in the second quarter of 2024, compared to RMB154.9 million, representing 2.5% of total net revenues, in the same quarter of 2023.</w:t>
      </w:r>
    </w:p>
    <w:p>
      <w:pPr>
        <w:spacing w:after="0" w:line="157" w:lineRule="exact"/>
        <w:rPr>
          <w:rFonts w:ascii="Times New Roman" w:cs="Times New Roman" w:eastAsia="Times New Roman" w:hAnsi="Times New Roman"/>
          <w:sz w:val="18"/>
          <w:szCs w:val="18"/>
          <w:color w:val="auto"/>
        </w:rPr>
      </w:pPr>
    </w:p>
    <w:p>
      <w:pPr>
        <w:ind w:left="340" w:hanging="332"/>
        <w:spacing w:after="0" w:line="259"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RMB1,850.2 million (US$254.6 million), representing 22.0% of total net revenues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which represents an increase of 24.5% compared to RMB1,485.8 million, representing 24.0% of total net revenues, in the same quarter of 2023. For the second quarter of 2024, revenues from partnership stores included sales of materials of RMB1,355.8 million (US$186.6 million), profit sharing of RMB202.6 million (US$27.9 million), delivery service of RMB145.5 million (US$20.0 million), sales of equipment of RMB129.6 million (US$17.8 million) and other services of RMB16.7 million (US$2.3 million).</w:t>
      </w:r>
    </w:p>
    <w:p>
      <w:pPr>
        <w:spacing w:after="0" w:line="17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RMB7,351.9 million (US$1,011.7 million) in the second quarter of 2024, representing an increase of 46.2%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RMB5,028.6 million in the same quarter of 2023. The increase in total operating expenses was predominantly the result of the Company’s business expansion. Meanwhile, operating expenses as a percentage of net revenues increased to 87.5% in the second quarter of 2024 from 81.1% in the same quarter of 2023, mainly due to the increase in store rental and other operating costs and cost of materials as a percentage of net revenues resulting from decreased average selling price of the Company’s products.</w:t>
      </w:r>
    </w:p>
    <w:p>
      <w:pPr>
        <w:spacing w:after="0" w:line="179" w:lineRule="exact"/>
        <w:rPr>
          <w:sz w:val="20"/>
          <w:szCs w:val="20"/>
          <w:color w:val="auto"/>
        </w:rPr>
      </w:pPr>
    </w:p>
    <w:p>
      <w:pPr>
        <w:ind w:left="340" w:right="12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RMB3,368.2 million (US$463.5 million) in the second quarter of 2024, representing an increase of 36.8% from RMB2,461.5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 which was mainly due to the increase in the number of products sold and the increase in sales of materials to partnership stores.</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rental and other operating costs </w:t>
      </w:r>
      <w:r>
        <w:rPr>
          <w:rFonts w:ascii="Times New Roman" w:cs="Times New Roman" w:eastAsia="Times New Roman" w:hAnsi="Times New Roman"/>
          <w:sz w:val="18"/>
          <w:szCs w:val="18"/>
          <w:color w:val="auto"/>
        </w:rPr>
        <w:t>were RMB2,050.2 million (US$282.1 million) in the second quarter of 2024, representing an increase of</w:t>
      </w:r>
    </w:p>
    <w:p>
      <w:pPr>
        <w:spacing w:after="0" w:line="31" w:lineRule="exact"/>
        <w:rPr>
          <w:rFonts w:ascii="Times New Roman" w:cs="Times New Roman" w:eastAsia="Times New Roman" w:hAnsi="Times New Roman"/>
          <w:sz w:val="18"/>
          <w:szCs w:val="18"/>
          <w:color w:val="auto"/>
        </w:rPr>
      </w:pPr>
    </w:p>
    <w:p>
      <w:pPr>
        <w:ind w:left="3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78.5% from RMB1,148.4 million in the same quarter of 2023, mainly due to the increase in labor costs, store rental as well as utilities and other store operating costs as a result of the increased number of stores in operation and items sold in the second quarter of 2024 compared to the same period last year.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RMB289.1 million (US$39.8 million) in the second quarter of 2024, representing an increase of</w:t>
      </w:r>
    </w:p>
    <w:p>
      <w:pPr>
        <w:spacing w:after="0" w:line="31" w:lineRule="exact"/>
        <w:rPr>
          <w:rFonts w:ascii="Times New Roman" w:cs="Times New Roman" w:eastAsia="Times New Roman" w:hAnsi="Times New Roman"/>
          <w:sz w:val="18"/>
          <w:szCs w:val="18"/>
          <w:color w:val="auto"/>
        </w:rPr>
      </w:pPr>
    </w:p>
    <w:p>
      <w:pPr>
        <w:ind w:left="34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126.3% from RMB127.7 million in the same quarter of 2023, mainly due to the increase in amortization of leasehold improvements for the stores and the increase in depreciation expenses of additional equipment put into use in new stores in the second quarter of 2024.</w:t>
      </w:r>
    </w:p>
    <w:p>
      <w:pPr>
        <w:spacing w:after="0" w:line="177" w:lineRule="exact"/>
        <w:rPr>
          <w:rFonts w:ascii="Times New Roman" w:cs="Times New Roman" w:eastAsia="Times New Roman" w:hAnsi="Times New Roman"/>
          <w:sz w:val="18"/>
          <w:szCs w:val="18"/>
          <w:color w:val="auto"/>
        </w:rPr>
      </w:pPr>
    </w:p>
    <w:p>
      <w:pPr>
        <w:ind w:left="340" w:right="42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RMB606.9 million (US$83.5 million) in the second quarter of 2024, representing an increase of 13.6% from RMB534.1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 mainly due to the increase in the number of delivery orders.</w:t>
      </w:r>
    </w:p>
    <w:p>
      <w:pPr>
        <w:spacing w:after="0" w:line="154" w:lineRule="exact"/>
        <w:rPr>
          <w:rFonts w:ascii="Times New Roman" w:cs="Times New Roman" w:eastAsia="Times New Roman" w:hAnsi="Times New Roman"/>
          <w:sz w:val="18"/>
          <w:szCs w:val="18"/>
          <w:color w:val="auto"/>
        </w:rPr>
      </w:pPr>
    </w:p>
    <w:p>
      <w:pPr>
        <w:ind w:left="340" w:right="10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RMB432.6 million (US$59.5 million) in the second quarter of 2024, representing an increase of 42.5%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RMB303.6 million in the same quarter of 2023, mainly driven by the increase in (i) advertising expenses as the Company continued to make strategic investments in its branding through various channels, and (ii) commissions to third-party delivery platforms which is in line with the increase in the number of delivery orders. Sales and marketing expenses amounted to 5.1% of total net revenues in the second quarter of 2024, compared to 4.9% of total net revenues in the same quarter of 2023.</w:t>
      </w:r>
    </w:p>
    <w:p>
      <w:pPr>
        <w:spacing w:after="0" w:line="179" w:lineRule="exact"/>
        <w:rPr>
          <w:rFonts w:ascii="Times New Roman" w:cs="Times New Roman" w:eastAsia="Times New Roman" w:hAnsi="Times New Roman"/>
          <w:sz w:val="18"/>
          <w:szCs w:val="18"/>
          <w:color w:val="auto"/>
        </w:rPr>
      </w:pPr>
    </w:p>
    <w:p>
      <w:pPr>
        <w:ind w:left="340" w:right="200" w:hanging="332"/>
        <w:spacing w:after="0" w:line="278"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General and administrative expenses </w:t>
      </w:r>
      <w:r>
        <w:rPr>
          <w:rFonts w:ascii="Times New Roman" w:cs="Times New Roman" w:eastAsia="Times New Roman" w:hAnsi="Times New Roman"/>
          <w:sz w:val="17"/>
          <w:szCs w:val="17"/>
          <w:color w:val="auto"/>
        </w:rPr>
        <w:t>were RMB589.7 million (US$81.1 million) in the second quarter of 2024, representing an increase of 38.6%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RMB425.5 million in the same quarter of 2023. The increase in general and administrative expenses was mainly driven by the increase in</w:t>
      </w:r>
    </w:p>
    <w:p>
      <w:pPr>
        <w:spacing w:after="0" w:line="1" w:lineRule="exact"/>
        <w:rPr>
          <w:rFonts w:ascii="Times New Roman" w:cs="Times New Roman" w:eastAsia="Times New Roman" w:hAnsi="Times New Roman"/>
          <w:sz w:val="17"/>
          <w:szCs w:val="17"/>
          <w:color w:val="auto"/>
        </w:rPr>
      </w:pPr>
    </w:p>
    <w:p>
      <w:pPr>
        <w:ind w:left="340" w:right="2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payroll costs for headquarter staff, (ii) research and development expenses, (iii) share-based compensation for restricted share units and options issued to management and employees, and (iv) expenditures for office supplies. General and administrative expenses amounted to 7.0% of total net revenues in the second quarter of 2024, compared to 6.9% of total net revenues in the same quarter of 2023.</w:t>
      </w:r>
    </w:p>
    <w:p>
      <w:pPr>
        <w:spacing w:after="0" w:line="181" w:lineRule="exact"/>
        <w:rPr>
          <w:rFonts w:ascii="Times New Roman" w:cs="Times New Roman" w:eastAsia="Times New Roman" w:hAnsi="Times New Roman"/>
          <w:sz w:val="17"/>
          <w:szCs w:val="17"/>
          <w:color w:val="auto"/>
        </w:rPr>
      </w:pPr>
    </w:p>
    <w:p>
      <w:pPr>
        <w:ind w:left="340" w:right="6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RMB14.0 million (US$1.9 million) in the second quarter of 2024, representing a decrease of 24.3%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RMB18.5 million in the same quarter of 2023, mainly due to fewer stores preparing to be opened in the second quarter of 2024 compared to the same quarter of 2023. Store preopening and other expenses amounted to 0.2% of total net revenues in the second quarter of 2024, compared to 0.3% of total net revenues in the same quarter of 2023.</w:t>
      </w:r>
    </w:p>
    <w:p>
      <w:pPr>
        <w:spacing w:after="0" w:line="176" w:lineRule="exact"/>
        <w:rPr>
          <w:rFonts w:ascii="Times New Roman" w:cs="Times New Roman" w:eastAsia="Times New Roman" w:hAnsi="Times New Roman"/>
          <w:sz w:val="18"/>
          <w:szCs w:val="18"/>
          <w:color w:val="auto"/>
        </w:rPr>
      </w:pPr>
    </w:p>
    <w:p>
      <w:pPr>
        <w:ind w:left="340" w:right="8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RMB1.2 million (US$0.2 million) in the second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 decrease of 71.0% from RMB4.0 million in the same quarter of 2023. Losses and expenses related to Fabricated Transactions and Restructuring amounted to 0.0% of total net revenues in the second quarter of 2024, compared to 0.1% of total net revenues in the same quarter of 2023.</w:t>
      </w:r>
    </w:p>
    <w:p>
      <w:pPr>
        <w:spacing w:after="0" w:line="176" w:lineRule="exact"/>
        <w:rPr>
          <w:rFonts w:ascii="Times New Roman" w:cs="Times New Roman" w:eastAsia="Times New Roman" w:hAnsi="Times New Roman"/>
          <w:sz w:val="18"/>
          <w:szCs w:val="18"/>
          <w:color w:val="auto"/>
        </w:rPr>
      </w:pPr>
    </w:p>
    <w:p>
      <w:pPr>
        <w:ind w:left="340" w:right="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margin - self-operated stores </w:t>
      </w:r>
      <w:r>
        <w:rPr>
          <w:rFonts w:ascii="Times New Roman" w:cs="Times New Roman" w:eastAsia="Times New Roman" w:hAnsi="Times New Roman"/>
          <w:sz w:val="18"/>
          <w:szCs w:val="18"/>
          <w:color w:val="auto"/>
        </w:rPr>
        <w:t>was 21.5% in the second quarter of 2024, compared to 29.1% in the same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decrease in average selling price of the Company’s products, offset by the benefits of economies of scale from the increased number of products sold.</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RMB1,050.7 million (US$144.6 million) in the second quarter of 2024, representing a GAAP operating margin of 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compared to RMB1,172.8 million, or a GAAP operating margin of 18.9%, in the same quarter of 2023.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RMB1,150.6 million (US$158.3 million) in the second quarter of 2024, representing a non-GAAP operating margin of 13.7%, compared to RMB1,236.3 million, or a non-GAAP operating margin of 19.9%, in the same quarter of 2023.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1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RMB871.1 million (US$119.9 million) in the second quarter of 2024, representing a net margin of 10.4%, compared to RMB998.7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million, or a net margin of 16.1%, in the same quarter of 2023.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RMB971.0 million (US$133.6 million) in the second quarter of 2024, representing a non-GAAP net margin of 11.6%, compared to RMB1,062.2 million, or a non-GAAP net margin of 17.1%, in the same quarter of 2023.</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RMB2.72 (US$0.40) and RMB2.72 (US$0.40) in the second quarter of 2024, respectively,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RMB3.12 and RMB3.12 in the same quarter of 2023, respectively.</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RMB3.04 (US$0.40) and RMB3.04 (US$0.40) in the second quarter of 2024,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RMB3.36 and RMB3.36 in the same quarter of 2023, respectively.</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RMB1,549.1 million (US$213.2 million) in the second quarter of 2024, compared to net cash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activities of RMB1,444.4 million in the same quarter of 2023.</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RMB3,786.0 million (US$521.0 million) as of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compared to RMB3,752.7 million as of December 31, 2023.</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6"/>
        </w:trPr>
        <w:tc>
          <w:tcPr>
            <w:tcW w:w="44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or as of</w:t>
            </w: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87"/>
        </w:trPr>
        <w:tc>
          <w:tcPr>
            <w:tcW w:w="4480" w:type="dxa"/>
            <w:vAlign w:val="bottom"/>
          </w:tcPr>
          <w:p>
            <w:pPr>
              <w:spacing w:after="0"/>
              <w:rPr>
                <w:sz w:val="16"/>
                <w:szCs w:val="16"/>
                <w:color w:val="auto"/>
              </w:rPr>
            </w:pPr>
          </w:p>
        </w:tc>
        <w:tc>
          <w:tcPr>
            <w:tcW w:w="94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940" w:type="dxa"/>
            <w:vAlign w:val="bottom"/>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96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Jun 30,</w:t>
            </w:r>
          </w:p>
        </w:tc>
        <w:tc>
          <w:tcPr>
            <w:tcW w:w="9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96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Mar 31,</w:t>
            </w: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Self-operated stores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6,310</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10,628</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12,199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13,056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stores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3,648</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6,391</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6,905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sales growth for self-operated stores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monthly transacting customers (in thousands)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24,559</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29,489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43,070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58,477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62,438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59,914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69,689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225" w:lineRule="exact"/>
        <w:rPr>
          <w:rFonts w:ascii="Times New Roman" w:cs="Times New Roman" w:eastAsia="Times New Roman" w:hAnsi="Times New Roman"/>
          <w:sz w:val="18"/>
          <w:szCs w:val="18"/>
          <w:color w:val="auto"/>
        </w:rPr>
      </w:pPr>
    </w:p>
    <w:p>
      <w:pPr>
        <w:ind w:left="340" w:right="50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unmanned machines, e-commerce and revenue from delivery for self-operated stores.</w:t>
      </w:r>
    </w:p>
    <w:p>
      <w:pPr>
        <w:spacing w:after="0" w:line="154" w:lineRule="exact"/>
        <w:rPr>
          <w:rFonts w:ascii="Times New Roman" w:cs="Times New Roman" w:eastAsia="Times New Roman" w:hAnsi="Times New Roman"/>
          <w:sz w:val="18"/>
          <w:szCs w:val="18"/>
          <w:color w:val="auto"/>
        </w:rPr>
      </w:pPr>
    </w:p>
    <w:p>
      <w:pPr>
        <w:ind w:left="340" w:right="6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self-operating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 Before the first quarter of 2023, revenues from self-operated stores only included net revenue from the sales of freshly brewed and non-freshly brewed items through self-operating stores, and beginning from the first quarter of 2023, we added delivery fees derived from self-operated stores paid by the Company’s customers to this definition.</w:t>
      </w:r>
    </w:p>
    <w:p>
      <w:pPr>
        <w:spacing w:after="0" w:line="176"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and other services including delivery and pre-opening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provided to partnership stores and profit sharing from partnership stores.</w:t>
      </w:r>
    </w:p>
    <w:p>
      <w:pPr>
        <w:spacing w:after="0" w:line="154" w:lineRule="exact"/>
        <w:rPr>
          <w:rFonts w:ascii="Times New Roman" w:cs="Times New Roman" w:eastAsia="Times New Roman" w:hAnsi="Times New Roman"/>
          <w:sz w:val="18"/>
          <w:szCs w:val="18"/>
          <w:b w:val="1"/>
          <w:bCs w:val="1"/>
          <w:color w:val="auto"/>
        </w:rPr>
      </w:pPr>
    </w:p>
    <w:p>
      <w:pPr>
        <w:ind w:left="340" w:right="8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170" w:lineRule="exact"/>
        <w:rPr>
          <w:rFonts w:ascii="Times New Roman" w:cs="Times New Roman" w:eastAsia="Times New Roman" w:hAnsi="Times New Roman"/>
          <w:sz w:val="18"/>
          <w:szCs w:val="18"/>
          <w:color w:val="auto"/>
        </w:rPr>
      </w:pPr>
    </w:p>
    <w:p>
      <w:pPr>
        <w:ind w:left="340" w:right="120" w:hanging="332"/>
        <w:spacing w:after="0" w:line="278"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Store level operating profit - self-operated stores. </w:t>
      </w:r>
      <w:r>
        <w:rPr>
          <w:rFonts w:ascii="Times New Roman" w:cs="Times New Roman" w:eastAsia="Times New Roman" w:hAnsi="Times New Roman"/>
          <w:sz w:val="17"/>
          <w:szCs w:val="17"/>
          <w:color w:val="auto"/>
        </w:rPr>
        <w:t>Calculated by deducting cost for self-operated stores including cost of direct materials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 Before the first quarter of 2023, commissions to third-party delivery platforms related to revenues from self-operated stores was not deducted when calculating this term.</w:t>
      </w:r>
    </w:p>
    <w:p>
      <w:pPr>
        <w:spacing w:after="0" w:line="163" w:lineRule="exact"/>
        <w:rPr>
          <w:rFonts w:ascii="Times New Roman" w:cs="Times New Roman" w:eastAsia="Times New Roman" w:hAnsi="Times New Roman"/>
          <w:sz w:val="17"/>
          <w:szCs w:val="17"/>
          <w:color w:val="auto"/>
        </w:rPr>
      </w:pPr>
    </w:p>
    <w:p>
      <w:pPr>
        <w:ind w:left="340" w:right="26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margin - self-operated stores. </w:t>
      </w:r>
      <w:r>
        <w:rPr>
          <w:rFonts w:ascii="Times New Roman" w:cs="Times New Roman" w:eastAsia="Times New Roman" w:hAnsi="Times New Roman"/>
          <w:sz w:val="18"/>
          <w:szCs w:val="18"/>
          <w:color w:val="auto"/>
        </w:rPr>
        <w:t>Calculated by dividing store level operating profit by total revenues from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 of the period, excluding unmanned machines.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closed during the period.</w:t>
      </w:r>
    </w:p>
    <w:p>
      <w:pPr>
        <w:spacing w:after="0" w:line="225" w:lineRule="exact"/>
        <w:rPr>
          <w:rFonts w:ascii="Times New Roman" w:cs="Times New Roman" w:eastAsia="Times New Roman" w:hAnsi="Times New Roman"/>
          <w:sz w:val="18"/>
          <w:szCs w:val="18"/>
          <w:color w:val="auto"/>
        </w:rPr>
      </w:pPr>
    </w:p>
    <w:p>
      <w:pPr>
        <w:ind w:left="340" w:right="3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Calculated by operating income excluding share-based compensation expenses.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Calculated by net income excluding recurring item of share-based compensation expenses.</w:t>
      </w:r>
    </w:p>
    <w:p>
      <w:pPr>
        <w:spacing w:after="0" w:line="225" w:lineRule="exact"/>
        <w:rPr>
          <w:rFonts w:ascii="Times New Roman" w:cs="Times New Roman" w:eastAsia="Times New Roman" w:hAnsi="Times New Roman"/>
          <w:sz w:val="18"/>
          <w:szCs w:val="18"/>
          <w:color w:val="auto"/>
        </w:rPr>
      </w:pPr>
    </w:p>
    <w:p>
      <w:pPr>
        <w:ind w:left="340" w:right="2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the Company’s ordinary shareholders. </w:t>
      </w:r>
      <w:r>
        <w:rPr>
          <w:rFonts w:ascii="Times New Roman" w:cs="Times New Roman" w:eastAsia="Times New Roman" w:hAnsi="Times New Roman"/>
          <w:sz w:val="18"/>
          <w:szCs w:val="18"/>
          <w:color w:val="auto"/>
        </w:rPr>
        <w:t>Calculated by adjusting net income attributable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shareholders excluding recurring item of share-based compensation expenses.</w:t>
      </w:r>
    </w:p>
    <w:p>
      <w:pPr>
        <w:spacing w:after="0" w:line="154" w:lineRule="exact"/>
        <w:rPr>
          <w:rFonts w:ascii="Times New Roman" w:cs="Times New Roman" w:eastAsia="Times New Roman" w:hAnsi="Times New Roman"/>
          <w:sz w:val="18"/>
          <w:szCs w:val="18"/>
          <w:color w:val="auto"/>
        </w:rPr>
      </w:pPr>
    </w:p>
    <w:p>
      <w:pPr>
        <w:ind w:left="340" w:right="40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shares.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share.</w:t>
      </w:r>
    </w:p>
    <w:p>
      <w:pPr>
        <w:spacing w:after="0" w:line="154" w:lineRule="exact"/>
        <w:rPr>
          <w:rFonts w:ascii="Times New Roman" w:cs="Times New Roman" w:eastAsia="Times New Roman" w:hAnsi="Times New Roman"/>
          <w:sz w:val="18"/>
          <w:szCs w:val="18"/>
          <w:color w:val="auto"/>
        </w:rPr>
      </w:pPr>
    </w:p>
    <w:p>
      <w:pPr>
        <w:ind w:left="340" w:right="46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 per ADSs. </w:t>
      </w:r>
      <w:r>
        <w:rPr>
          <w:rFonts w:ascii="Times New Roman" w:cs="Times New Roman" w:eastAsia="Times New Roman" w:hAnsi="Times New Roman"/>
          <w:sz w:val="18"/>
          <w:szCs w:val="18"/>
          <w:color w:val="auto"/>
        </w:rPr>
        <w:t>Calculated as non-GAAP net income attributable to the Company’s ordinary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weighted average number of basic and diluted ADS.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Generally Accepted Accounting Principles in the United States (“U.S. GAAP” or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and non-GAAP net income/(loss) attributable to the Company’s ordinary shareholders as net income/(loss) attributable to the Company’s ordinary shareholders excluding recurring item of share-based compensation expenses.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RMB7.2672 to US$1.00, the exchange rate on June 28, 2024 set forth in the H.10 statistical release of the Federal Reserve Board. The Company makes no representation that the RMB or US$ amounts referred could be converted into US$ or RMB,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today, on Tuesday, July 30, 2024, at 8:00 am Eastern Time (or Tuesday, July 30, 2024,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+1-888-317-6003</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+1-412-317-6061</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9555229</w:t>
            </w: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previously announced, all shareholders are able to submit questions to Luckin Coffee management by visiting </w:t>
      </w:r>
      <w:r>
        <w:rPr>
          <w:rFonts w:ascii="Times New Roman" w:cs="Times New Roman" w:eastAsia="Times New Roman" w:hAnsi="Times New Roman"/>
          <w:sz w:val="18"/>
          <w:szCs w:val="18"/>
          <w:u w:val="single" w:color="auto"/>
          <w:color w:val="auto"/>
        </w:rPr>
        <w:t>https://event.choruscall.com/mediaframe/webcast.html?webcastid=PgYeYMFG</w:t>
      </w:r>
      <w:r>
        <w:rPr>
          <w:rFonts w:ascii="Times New Roman" w:cs="Times New Roman" w:eastAsia="Times New Roman" w:hAnsi="Times New Roman"/>
          <w:sz w:val="18"/>
          <w:szCs w:val="18"/>
          <w:color w:val="auto"/>
        </w:rPr>
        <w:t>. After registration, there will be an “Ask a Question” section on the bottom of the screen. Management will answer a selection of questions from the submission list during the conference call. The Q&amp;A platform will remain open until the conclusion of the earnings call.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August 6, 2024, by dialing the following numbers: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3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+1-877-344-7529</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3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23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8442566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mission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 / Michael Bowen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Trissel / Spencer Hoffman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212 355 4449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 AS OF DECEMBER 31,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UNAUDITED CONDENSED CONSOLIDATED BALANCE SHEET 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12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36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4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c>
          <w:tcPr>
            <w:tcW w:w="124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2,925,709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3,470,134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477,506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66,080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current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464,019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117,729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80,665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214,163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394,180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54,241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2,204,000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2,314,070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318,427</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1,544,918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1,712,088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235,591</w:t>
            </w:r>
          </w:p>
        </w:tc>
        <w:tc>
          <w:tcPr>
            <w:tcW w:w="0" w:type="dxa"/>
            <w:vAlign w:val="bottom"/>
          </w:tcPr>
          <w:p>
            <w:pPr>
              <w:spacing w:after="0"/>
              <w:rPr>
                <w:sz w:val="1"/>
                <w:szCs w:val="1"/>
                <w:color w:val="auto"/>
              </w:rPr>
            </w:pPr>
          </w:p>
        </w:tc>
      </w:tr>
      <w:tr>
        <w:trPr>
          <w:trHeight w:val="209"/>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7,599,554</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8,149,394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4,169,141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4,829,435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664,552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46,854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Term deposit-non current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789,492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928,968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127,830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350,082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269,976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5,186,855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5,585,986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768,657</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10,692,424</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11,806,968</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1,624,692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19,956,362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2,746,086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814,655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753,214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103,646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2,556,977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2,620,474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360,589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123,422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116,314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119,055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1,851,310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2,094,898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288,268</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5,462,678</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6,009,663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3,114,855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3,245,133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446,545</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3,114,855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3,245,133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446,545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8,577,533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9,254,796</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1,273,502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Shares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1,578,040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1,514,660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208,424</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16,276,991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16,510,410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2,271,908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168,204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168,058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(8,705,759)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(7,917,684)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(1,089,510)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396,944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426,097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58,633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8,136,405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9,186,906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1,264,160</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19,956,362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5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7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6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4,715,596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6,552,393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901,639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8,016,907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11,322,553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1,558,035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1,485,833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1,850,235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254,601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2,621,249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3,358,218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462,106</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6,201,429</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8,402,628</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1,156,240</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10,638,156</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14,680,771</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(2,461,505)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(3,368,237)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(463,485)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(4,216,159)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(6,312,667)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(868,652)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(1,148,370)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(2,050,215)</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(282,119)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(2,040,031)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(3,883,490)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(534,386)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(289,114)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(39,783)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(236,204)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(548,511)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(75,478)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(534,147)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(606,918)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(83,515)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(955,881)</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(1,054,713)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(145,133)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(303,588)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(432,596)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(503,009)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(758,425)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(104,363)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(425,543)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(589,704)</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(81,146)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(786,373)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(1,146,247)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(157,729)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(34,173)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(42,510)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7,068</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(5,028,613)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(7,351,946)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(1,011,661)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(8,786,975)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(13,695,196)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(1,884,523)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1,172,816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1,050,682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144,579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1,851,181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985,575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(17,055)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(29,208)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40,706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9,272</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1,224,422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1,104,279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151,954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1,936,789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1,053,241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144,930</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(225,718)</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(233,176)</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(373,268)</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(265,312)</w:t>
            </w:r>
          </w:p>
        </w:tc>
        <w:tc>
          <w:tcPr>
            <w:tcW w:w="1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998,704</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119,868</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1,563,521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40" w:type="dxa"/>
            <w:vAlign w:val="bottom"/>
            <w:vMerge w:val="continue"/>
          </w:tcPr>
          <w:p>
            <w:pPr>
              <w:spacing w:after="0"/>
              <w:rPr>
                <w:sz w:val="12"/>
                <w:szCs w:val="12"/>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998,704</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119,868</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1,563,521</w:t>
            </w: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108,422</w:t>
            </w:r>
          </w:p>
        </w:tc>
        <w:tc>
          <w:tcPr>
            <w:tcW w:w="0" w:type="dxa"/>
            <w:vAlign w:val="bottom"/>
          </w:tcPr>
          <w:p>
            <w:pPr>
              <w:spacing w:after="0"/>
              <w:rPr>
                <w:sz w:val="1"/>
                <w:szCs w:val="1"/>
                <w:color w:val="auto"/>
              </w:rPr>
            </w:pPr>
          </w:p>
        </w:tc>
      </w:tr>
      <w:tr>
        <w:trPr>
          <w:trHeight w:val="265"/>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60" w:type="dxa"/>
            <w:vAlign w:val="bottom"/>
            <w:gridSpan w:val="2"/>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calculating basic and diluted income per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2,532,072,783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2,545,551,167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2,545,551,167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2,532,072,783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2,545,551,167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2,545,551,167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2,532,072,783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2,545,827,808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2,545,827,808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2,533,764,475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2,545,720,670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2,545,720,670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998,704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871,103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119,868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1,563,521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787,929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108,422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 of nil:</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 net of tax</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nil</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1,001,682</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122,262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1,566,166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112,434</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vMerge w:val="continue"/>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1,001,682</w:t>
            </w:r>
          </w:p>
        </w:tc>
        <w:tc>
          <w:tcPr>
            <w:tcW w:w="120" w:type="dxa"/>
            <w:vAlign w:val="bottom"/>
            <w:vMerge w:val="restart"/>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888,502</w:t>
            </w:r>
          </w:p>
        </w:tc>
        <w:tc>
          <w:tcPr>
            <w:tcW w:w="100" w:type="dxa"/>
            <w:vAlign w:val="bottom"/>
            <w:vMerge w:val="restart"/>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122,262</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1,566,166</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817,082</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112,434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1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72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68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4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RMB</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1,444,410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1,549,118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2,517,043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1,284,756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(876,930)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(157,287)</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(1,390,110)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(1,109,135)</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(152,623)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41,281</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and cash equivalents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4,053</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in cash and cash equivalents and</w:t>
            </w: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1,693,972</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1,134,978</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479,674</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66,005</w:t>
            </w:r>
          </w:p>
        </w:tc>
        <w:tc>
          <w:tcPr>
            <w:tcW w:w="0" w:type="dxa"/>
            <w:vAlign w:val="bottom"/>
          </w:tcPr>
          <w:p>
            <w:pPr>
              <w:spacing w:after="0"/>
              <w:rPr>
                <w:sz w:val="1"/>
                <w:szCs w:val="1"/>
                <w:color w:val="auto"/>
              </w:rPr>
            </w:pPr>
          </w:p>
        </w:tc>
      </w:tr>
      <w:tr>
        <w:trPr>
          <w:trHeight w:val="194"/>
        </w:trPr>
        <w:tc>
          <w:tcPr>
            <w:tcW w:w="3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beginning of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4,136,019</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251,038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3,577,919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418,131</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40" w:type="dxa"/>
            <w:vAlign w:val="bottom"/>
            <w:vMerge w:val="continue"/>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4,712,897</w:t>
            </w:r>
          </w:p>
        </w:tc>
        <w:tc>
          <w:tcPr>
            <w:tcW w:w="120" w:type="dxa"/>
            <w:vAlign w:val="bottom"/>
            <w:vMerge w:val="restart"/>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3,518,317</w:t>
            </w:r>
          </w:p>
        </w:tc>
        <w:tc>
          <w:tcPr>
            <w:tcW w:w="10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484,136</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4,712,897</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3,518,317</w:t>
            </w:r>
          </w:p>
        </w:tc>
        <w:tc>
          <w:tcPr>
            <w:tcW w:w="2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484,136</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end of period</w:t>
            </w:r>
          </w:p>
        </w:tc>
        <w:tc>
          <w:tcPr>
            <w:tcW w:w="11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80" w:right="1880" w:hanging="5572"/>
        <w:spacing w:after="0" w:line="783" w:lineRule="auto"/>
        <w:tabs>
          <w:tab w:leader="none" w:pos="1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financing activities in the second quarter of 2024 represented proceeds from a short-term bank borrowing.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 (Unaudited, amounts in thousands of RMB and US$, except for number of shares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72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368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w:t>
            </w:r>
          </w:p>
        </w:tc>
      </w:tr>
      <w:tr>
        <w:trPr>
          <w:trHeight w:val="209"/>
        </w:trPr>
        <w:tc>
          <w:tcPr>
            <w:tcW w:w="38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8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c>
          <w:tcPr>
            <w:tcW w:w="14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RMB</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1,172,816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1,050,682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1,851,181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985,575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135,618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99,917</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115,552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170,016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23,395</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1,236,264</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1,150,599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158,328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1,966,733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1,155,591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998,704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871,103</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1,563,521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787,929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108,422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99,917</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115,552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170,016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23,395</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1,062,152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971,020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133,617</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1,679,073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957,945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131,817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7780" w:firstLine="8"/>
        <w:spacing w:after="0" w:line="262" w:lineRule="auto"/>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Non-GAAP net income per share Weighted average shares outstanding used in calculating basic and diluted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328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Basic</w:t>
            </w:r>
          </w:p>
        </w:tc>
        <w:tc>
          <w:tcPr>
            <w:tcW w:w="180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2,532,072,783</w:t>
            </w:r>
          </w:p>
        </w:tc>
        <w:tc>
          <w:tcPr>
            <w:tcW w:w="124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2,545,551,167</w:t>
            </w:r>
          </w:p>
        </w:tc>
        <w:tc>
          <w:tcPr>
            <w:tcW w:w="122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2,545,551,167</w:t>
            </w:r>
          </w:p>
        </w:tc>
        <w:tc>
          <w:tcPr>
            <w:tcW w:w="124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2,532,072,783</w:t>
            </w:r>
          </w:p>
        </w:tc>
        <w:tc>
          <w:tcPr>
            <w:tcW w:w="122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2,545,551,167</w:t>
            </w:r>
          </w:p>
        </w:tc>
        <w:tc>
          <w:tcPr>
            <w:tcW w:w="1240" w:type="dxa"/>
            <w:vAlign w:val="bottom"/>
            <w:shd w:val="clear" w:color="auto" w:fill="CCEEFF"/>
          </w:tcPr>
          <w:p>
            <w:pPr>
              <w:jc w:val="right"/>
              <w:ind w:right="10"/>
              <w:spacing w:after="0" w:line="199" w:lineRule="exact"/>
              <w:rPr>
                <w:sz w:val="20"/>
                <w:szCs w:val="20"/>
                <w:color w:val="auto"/>
              </w:rPr>
            </w:pPr>
            <w:r>
              <w:rPr>
                <w:rFonts w:ascii="Times New Roman" w:cs="Times New Roman" w:eastAsia="Times New Roman" w:hAnsi="Times New Roman"/>
                <w:sz w:val="18"/>
                <w:szCs w:val="18"/>
                <w:color w:val="auto"/>
              </w:rPr>
              <w:t>2,545,551,167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2,532,072,783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2,545,827,808</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2,545,827,808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2,533,764,475</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2,545,720,670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2,545,720,670</w:t>
            </w:r>
          </w:p>
        </w:tc>
      </w:tr>
      <w:tr>
        <w:trPr>
          <w:trHeight w:val="216"/>
        </w:trPr>
        <w:tc>
          <w:tcPr>
            <w:tcW w:w="3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3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r>
    </w:tbl>
    <w:p>
      <w:pPr>
        <w:spacing w:after="0" w:line="179" w:lineRule="exact"/>
        <w:rPr>
          <w:sz w:val="20"/>
          <w:szCs w:val="20"/>
          <w:color w:val="auto"/>
        </w:rPr>
      </w:pPr>
    </w:p>
    <w:p>
      <w:pPr>
        <w:ind w:right="180" w:firstLine="8"/>
        <w:spacing w:after="0" w:line="282"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2024-07-30T06:05:16Z</dcterms:created>
  <dcterms:modified xsi:type="dcterms:W3CDTF">2024-07-30T06:05:16Z</dcterms:modified>
</cp:coreProperties>
</file>